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AE0BD8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KDF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</w:t>
      </w:r>
      <w:r w:rsidR="008651A6">
        <w:rPr>
          <w:rFonts w:ascii="Arial" w:hAnsi="Arial" w:cs="Arial"/>
          <w:b/>
          <w:sz w:val="20"/>
          <w:szCs w:val="20"/>
        </w:rPr>
        <w:t xml:space="preserve"> difference of over 10% in the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4658EF">
        <w:rPr>
          <w:rFonts w:ascii="Arial" w:hAnsi="Arial" w:cs="Arial"/>
          <w:b/>
          <w:sz w:val="20"/>
          <w:szCs w:val="20"/>
        </w:rPr>
        <w:t xml:space="preserve">the first 6 months of 2020 </w:t>
      </w:r>
      <w:r w:rsidR="008651A6">
        <w:rPr>
          <w:rFonts w:ascii="Arial" w:hAnsi="Arial" w:cs="Arial"/>
          <w:b/>
          <w:sz w:val="20"/>
          <w:szCs w:val="20"/>
        </w:rPr>
        <w:t xml:space="preserve">year on year </w:t>
      </w:r>
    </w:p>
    <w:p w:rsidR="00B65C88" w:rsidRDefault="00E36A4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242D7">
        <w:rPr>
          <w:rFonts w:ascii="Arial" w:hAnsi="Arial" w:cs="Arial"/>
          <w:sz w:val="20"/>
          <w:szCs w:val="20"/>
        </w:rPr>
        <w:t>14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AE0BD8" w:rsidRPr="00AE0BD8">
        <w:rPr>
          <w:rFonts w:ascii="Arial" w:hAnsi="Arial" w:cs="Arial"/>
          <w:sz w:val="20"/>
          <w:szCs w:val="20"/>
        </w:rPr>
        <w:t>Kido Frozen Foods Joint Stock Company</w:t>
      </w:r>
      <w:r w:rsidR="00AE0BD8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>difference of over 10% in the financial statement of the firs</w:t>
      </w:r>
      <w:r w:rsidR="008651A6">
        <w:rPr>
          <w:rFonts w:ascii="Arial" w:hAnsi="Arial" w:cs="Arial"/>
          <w:sz w:val="20"/>
          <w:szCs w:val="20"/>
        </w:rPr>
        <w:t>t 6 months of 2020 year on year</w:t>
      </w:r>
      <w:r w:rsidR="004658EF" w:rsidRPr="004658EF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AE0BD8" w:rsidRDefault="00AE0BD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Regarding the difference in </w:t>
      </w:r>
      <w:r w:rsidRPr="00AE0BD8">
        <w:rPr>
          <w:rFonts w:ascii="Arial" w:hAnsi="Arial" w:cs="Arial"/>
          <w:sz w:val="20"/>
          <w:szCs w:val="20"/>
        </w:rPr>
        <w:t xml:space="preserve">profit in the 6 months of 2020 compared </w:t>
      </w:r>
      <w:r>
        <w:rPr>
          <w:rFonts w:ascii="Arial" w:hAnsi="Arial" w:cs="Arial"/>
          <w:sz w:val="20"/>
          <w:szCs w:val="20"/>
        </w:rPr>
        <w:t>to</w:t>
      </w:r>
      <w:r w:rsidRPr="00AE0BD8">
        <w:rPr>
          <w:rFonts w:ascii="Arial" w:hAnsi="Arial" w:cs="Arial"/>
          <w:sz w:val="20"/>
          <w:szCs w:val="20"/>
        </w:rPr>
        <w:t xml:space="preserve"> the 6 months of 2019, we would like to explain as follows: </w:t>
      </w:r>
    </w:p>
    <w:p w:rsidR="00AE0BD8" w:rsidRDefault="00AE0BD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BD8">
        <w:rPr>
          <w:rFonts w:ascii="Arial" w:hAnsi="Arial" w:cs="Arial"/>
          <w:sz w:val="20"/>
          <w:szCs w:val="20"/>
        </w:rPr>
        <w:t xml:space="preserve">Unit: </w:t>
      </w:r>
      <w:r>
        <w:rPr>
          <w:rFonts w:ascii="Arial" w:hAnsi="Arial" w:cs="Arial"/>
          <w:sz w:val="20"/>
          <w:szCs w:val="20"/>
        </w:rPr>
        <w:t>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0"/>
        <w:gridCol w:w="2610"/>
        <w:gridCol w:w="1548"/>
      </w:tblGrid>
      <w:tr w:rsidR="00AE0BD8" w:rsidTr="00AE0BD8">
        <w:tc>
          <w:tcPr>
            <w:tcW w:w="271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70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2020</w:t>
            </w:r>
          </w:p>
        </w:tc>
        <w:tc>
          <w:tcPr>
            <w:tcW w:w="261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2019</w:t>
            </w:r>
          </w:p>
        </w:tc>
        <w:tc>
          <w:tcPr>
            <w:tcW w:w="154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Change</w:t>
            </w:r>
          </w:p>
        </w:tc>
      </w:tr>
      <w:tr w:rsidR="00AE0BD8" w:rsidTr="00AE0BD8">
        <w:tc>
          <w:tcPr>
            <w:tcW w:w="271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270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 xml:space="preserve">674,161 </w:t>
            </w:r>
          </w:p>
        </w:tc>
        <w:tc>
          <w:tcPr>
            <w:tcW w:w="261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>766,419</w:t>
            </w:r>
          </w:p>
        </w:tc>
        <w:tc>
          <w:tcPr>
            <w:tcW w:w="154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>-12%</w:t>
            </w:r>
          </w:p>
        </w:tc>
      </w:tr>
      <w:tr w:rsidR="00AE0BD8" w:rsidTr="00AE0BD8">
        <w:tc>
          <w:tcPr>
            <w:tcW w:w="271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70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 xml:space="preserve">144,253 </w:t>
            </w:r>
          </w:p>
        </w:tc>
        <w:tc>
          <w:tcPr>
            <w:tcW w:w="261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>118,585</w:t>
            </w:r>
          </w:p>
        </w:tc>
        <w:tc>
          <w:tcPr>
            <w:tcW w:w="154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</w:tr>
      <w:tr w:rsidR="00AE0BD8" w:rsidTr="00AE0BD8">
        <w:tc>
          <w:tcPr>
            <w:tcW w:w="271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270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 xml:space="preserve">114,091 </w:t>
            </w:r>
          </w:p>
        </w:tc>
        <w:tc>
          <w:tcPr>
            <w:tcW w:w="261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>92,500</w:t>
            </w:r>
          </w:p>
        </w:tc>
        <w:tc>
          <w:tcPr>
            <w:tcW w:w="154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AE0BD8" w:rsidTr="00AE0BD8">
        <w:tc>
          <w:tcPr>
            <w:tcW w:w="271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Margin of profit before tax </w:t>
            </w:r>
          </w:p>
        </w:tc>
        <w:tc>
          <w:tcPr>
            <w:tcW w:w="270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 xml:space="preserve">21% </w:t>
            </w:r>
          </w:p>
        </w:tc>
        <w:tc>
          <w:tcPr>
            <w:tcW w:w="261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4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D8" w:rsidTr="00AE0BD8">
        <w:tc>
          <w:tcPr>
            <w:tcW w:w="271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Margin of after-tax profit </w:t>
            </w:r>
          </w:p>
        </w:tc>
        <w:tc>
          <w:tcPr>
            <w:tcW w:w="270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 xml:space="preserve">17% </w:t>
            </w:r>
          </w:p>
        </w:tc>
        <w:tc>
          <w:tcPr>
            <w:tcW w:w="2610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BD8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548" w:type="dxa"/>
          </w:tcPr>
          <w:p w:rsidR="00AE0BD8" w:rsidRDefault="00AE0BD8" w:rsidP="00AE0B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BD8" w:rsidRDefault="00AE0BD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0BD8" w:rsidRDefault="00AE0BD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</w:t>
      </w:r>
      <w:r w:rsidRPr="00AE0BD8">
        <w:rPr>
          <w:rFonts w:ascii="Arial" w:hAnsi="Arial" w:cs="Arial"/>
          <w:sz w:val="20"/>
          <w:szCs w:val="20"/>
        </w:rPr>
        <w:t xml:space="preserve">19 </w:t>
      </w:r>
      <w:r w:rsidRPr="00AE0BD8">
        <w:rPr>
          <w:rFonts w:ascii="Arial" w:hAnsi="Arial" w:cs="Arial"/>
          <w:sz w:val="20"/>
          <w:szCs w:val="20"/>
        </w:rPr>
        <w:t>epidemic</w:t>
      </w:r>
      <w:r w:rsidRPr="00AE0B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continued affecting t</w:t>
      </w:r>
      <w:r w:rsidRPr="00AE0BD8">
        <w:rPr>
          <w:rFonts w:ascii="Arial" w:hAnsi="Arial" w:cs="Arial"/>
          <w:sz w:val="20"/>
          <w:szCs w:val="20"/>
        </w:rPr>
        <w:t>he Company's business situation, in response to the impact of the epidemic, the Company continued to make chang</w:t>
      </w:r>
      <w:r>
        <w:rPr>
          <w:rFonts w:ascii="Arial" w:hAnsi="Arial" w:cs="Arial"/>
          <w:sz w:val="20"/>
          <w:szCs w:val="20"/>
        </w:rPr>
        <w:t>es in sale</w:t>
      </w:r>
      <w:r w:rsidRPr="00AE0BD8">
        <w:rPr>
          <w:rFonts w:ascii="Arial" w:hAnsi="Arial" w:cs="Arial"/>
          <w:sz w:val="20"/>
          <w:szCs w:val="20"/>
        </w:rPr>
        <w:t xml:space="preserve"> by shifting its distribution system to brin</w:t>
      </w:r>
      <w:r>
        <w:rPr>
          <w:rFonts w:ascii="Arial" w:hAnsi="Arial" w:cs="Arial"/>
          <w:sz w:val="20"/>
          <w:szCs w:val="20"/>
        </w:rPr>
        <w:t>g products closer to consumers.</w:t>
      </w:r>
      <w:r w:rsidRPr="00AE0BD8">
        <w:rPr>
          <w:rFonts w:ascii="Arial" w:hAnsi="Arial" w:cs="Arial"/>
          <w:sz w:val="20"/>
          <w:szCs w:val="20"/>
        </w:rPr>
        <w:t xml:space="preserve"> Thanks to that, sales only decreased by 12% </w:t>
      </w:r>
      <w:r>
        <w:rPr>
          <w:rFonts w:ascii="Arial" w:hAnsi="Arial" w:cs="Arial"/>
          <w:sz w:val="20"/>
          <w:szCs w:val="20"/>
        </w:rPr>
        <w:t xml:space="preserve">year on year </w:t>
      </w:r>
    </w:p>
    <w:p w:rsidR="00AE0BD8" w:rsidRDefault="00AE0BD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continued to focus on selling high profit margin products and cutting low profit </w:t>
      </w:r>
      <w:r w:rsidRPr="00AE0BD8">
        <w:rPr>
          <w:rFonts w:ascii="Arial" w:hAnsi="Arial" w:cs="Arial"/>
          <w:sz w:val="20"/>
          <w:szCs w:val="20"/>
        </w:rPr>
        <w:t>margin products while streamlining sell</w:t>
      </w:r>
      <w:r>
        <w:rPr>
          <w:rFonts w:ascii="Arial" w:hAnsi="Arial" w:cs="Arial"/>
          <w:sz w:val="20"/>
          <w:szCs w:val="20"/>
        </w:rPr>
        <w:t>ing and administrative expenses, which made profit before and after tax</w:t>
      </w:r>
      <w:r w:rsidRPr="00AE0BD8">
        <w:rPr>
          <w:rFonts w:ascii="Arial" w:hAnsi="Arial" w:cs="Arial"/>
          <w:sz w:val="20"/>
          <w:szCs w:val="20"/>
        </w:rPr>
        <w:t xml:space="preserve"> increa</w:t>
      </w:r>
      <w:r>
        <w:rPr>
          <w:rFonts w:ascii="Arial" w:hAnsi="Arial" w:cs="Arial"/>
          <w:sz w:val="20"/>
          <w:szCs w:val="20"/>
        </w:rPr>
        <w:t xml:space="preserve">se by 22% and 23% respectively compared to </w:t>
      </w:r>
      <w:r w:rsidRPr="00AE0BD8">
        <w:rPr>
          <w:rFonts w:ascii="Arial" w:hAnsi="Arial" w:cs="Arial"/>
          <w:sz w:val="20"/>
          <w:szCs w:val="20"/>
        </w:rPr>
        <w:t>the same period last year</w:t>
      </w:r>
    </w:p>
    <w:p w:rsidR="00AE0BD8" w:rsidRDefault="00AE0BD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9D8"/>
    <w:rsid w:val="000E15ED"/>
    <w:rsid w:val="00125C9D"/>
    <w:rsid w:val="00155546"/>
    <w:rsid w:val="001654BA"/>
    <w:rsid w:val="0020606D"/>
    <w:rsid w:val="00244C92"/>
    <w:rsid w:val="0026711C"/>
    <w:rsid w:val="00272579"/>
    <w:rsid w:val="00292856"/>
    <w:rsid w:val="00293FEB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C7900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C386A"/>
    <w:rsid w:val="007F7DB7"/>
    <w:rsid w:val="008078B6"/>
    <w:rsid w:val="008651A6"/>
    <w:rsid w:val="0088081B"/>
    <w:rsid w:val="008854CF"/>
    <w:rsid w:val="00887C3A"/>
    <w:rsid w:val="008A1E16"/>
    <w:rsid w:val="00981C95"/>
    <w:rsid w:val="00A242D7"/>
    <w:rsid w:val="00A62855"/>
    <w:rsid w:val="00A81EB3"/>
    <w:rsid w:val="00AA01BA"/>
    <w:rsid w:val="00AE0BD8"/>
    <w:rsid w:val="00AF67BE"/>
    <w:rsid w:val="00B40E78"/>
    <w:rsid w:val="00B65C88"/>
    <w:rsid w:val="00BC16A6"/>
    <w:rsid w:val="00C324E9"/>
    <w:rsid w:val="00C72FFB"/>
    <w:rsid w:val="00CA6F06"/>
    <w:rsid w:val="00CC15D8"/>
    <w:rsid w:val="00D400F8"/>
    <w:rsid w:val="00DA5E81"/>
    <w:rsid w:val="00DF63C6"/>
    <w:rsid w:val="00E11EBD"/>
    <w:rsid w:val="00E25017"/>
    <w:rsid w:val="00E36A48"/>
    <w:rsid w:val="00ED0A4F"/>
    <w:rsid w:val="00ED31AF"/>
    <w:rsid w:val="00F02E19"/>
    <w:rsid w:val="00F03AA1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8FA7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92</cp:revision>
  <dcterms:created xsi:type="dcterms:W3CDTF">2019-10-16T10:03:00Z</dcterms:created>
  <dcterms:modified xsi:type="dcterms:W3CDTF">2020-08-20T00:36:00Z</dcterms:modified>
</cp:coreProperties>
</file>